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AEB" w:rsidRDefault="00050AEB" w:rsidP="00050AEB">
      <w:pPr>
        <w:spacing w:after="0" w:line="240" w:lineRule="auto"/>
      </w:pPr>
      <w:r>
        <w:t>Next Call: Thursday May 19</w:t>
      </w:r>
      <w:r w:rsidRPr="00C5694A">
        <w:t xml:space="preserve">, 2016 – </w:t>
      </w:r>
      <w:r>
        <w:t>3</w:t>
      </w:r>
      <w:r w:rsidRPr="00C5694A">
        <w:t>:</w:t>
      </w:r>
      <w:r>
        <w:t>3</w:t>
      </w:r>
      <w:r w:rsidRPr="00C5694A">
        <w:t>0 p.m. EST</w:t>
      </w:r>
    </w:p>
    <w:p w:rsidR="00050AEB" w:rsidRDefault="00050AEB" w:rsidP="00050AEB">
      <w:pPr>
        <w:spacing w:after="0" w:line="240" w:lineRule="auto"/>
      </w:pPr>
      <w:r>
        <w:t>DIAL IN INFO: Toll-free: 1-866-234-0247; Local (Toronto): 416-443-4589</w:t>
      </w:r>
    </w:p>
    <w:p w:rsidR="00050AEB" w:rsidRDefault="00050AEB" w:rsidP="00050AEB">
      <w:pPr>
        <w:spacing w:after="0" w:line="240" w:lineRule="auto"/>
      </w:pPr>
      <w:r>
        <w:t>Conference ID: 612392</w:t>
      </w:r>
    </w:p>
    <w:p w:rsidR="00ED57E6" w:rsidRDefault="00D155F0" w:rsidP="00050AEB">
      <w:pPr>
        <w:spacing w:after="0" w:line="240" w:lineRule="auto"/>
      </w:pPr>
    </w:p>
    <w:p w:rsidR="005F3276" w:rsidRDefault="005F3276" w:rsidP="00050AEB">
      <w:pPr>
        <w:spacing w:after="0" w:line="240" w:lineRule="auto"/>
      </w:pPr>
      <w:r>
        <w:t>Action Items:</w:t>
      </w:r>
    </w:p>
    <w:p w:rsidR="005F3276" w:rsidRDefault="005F3276" w:rsidP="005F3276">
      <w:pPr>
        <w:pStyle w:val="ListParagraph"/>
        <w:numPr>
          <w:ilvl w:val="0"/>
          <w:numId w:val="5"/>
        </w:numPr>
        <w:spacing w:after="0" w:line="240" w:lineRule="auto"/>
      </w:pPr>
      <w:r>
        <w:t>General request that committee members share RF safety training materials they provide to their employees, or that they send a list of dos and don’ts to Nick</w:t>
      </w:r>
    </w:p>
    <w:p w:rsidR="005F3276" w:rsidRDefault="005F3276" w:rsidP="005F3276">
      <w:pPr>
        <w:pStyle w:val="ListParagraph"/>
        <w:numPr>
          <w:ilvl w:val="1"/>
          <w:numId w:val="5"/>
        </w:numPr>
        <w:spacing w:after="0" w:line="240" w:lineRule="auto"/>
      </w:pPr>
      <w:r>
        <w:t xml:space="preserve">Could include lock-out tag-out practices, personal monitor dos and don’ts and </w:t>
      </w:r>
    </w:p>
    <w:p w:rsidR="005F3276" w:rsidRDefault="005F3276" w:rsidP="00050AEB">
      <w:pPr>
        <w:spacing w:after="0" w:line="240" w:lineRule="auto"/>
      </w:pPr>
    </w:p>
    <w:p w:rsidR="00050AEB" w:rsidRDefault="00050AEB" w:rsidP="00050AEB">
      <w:pPr>
        <w:spacing w:after="0" w:line="240" w:lineRule="auto"/>
      </w:pPr>
      <w:r>
        <w:t>Attendees:</w:t>
      </w:r>
    </w:p>
    <w:p w:rsidR="00050AEB" w:rsidRDefault="00050AEB" w:rsidP="00050AEB">
      <w:pPr>
        <w:pStyle w:val="ListParagraph"/>
        <w:numPr>
          <w:ilvl w:val="0"/>
          <w:numId w:val="1"/>
        </w:numPr>
        <w:spacing w:after="0" w:line="240" w:lineRule="auto"/>
        <w:sectPr w:rsidR="00050AEB">
          <w:headerReference w:type="default" r:id="rId7"/>
          <w:pgSz w:w="12240" w:h="15840"/>
          <w:pgMar w:top="1440" w:right="1440" w:bottom="1440" w:left="1440" w:header="720" w:footer="720" w:gutter="0"/>
          <w:cols w:space="720"/>
          <w:docGrid w:linePitch="360"/>
        </w:sectPr>
      </w:pPr>
    </w:p>
    <w:p w:rsidR="00050AEB" w:rsidRDefault="00050AEB" w:rsidP="00050AEB">
      <w:pPr>
        <w:pStyle w:val="ListParagraph"/>
        <w:numPr>
          <w:ilvl w:val="0"/>
          <w:numId w:val="1"/>
        </w:numPr>
        <w:spacing w:after="0" w:line="240" w:lineRule="auto"/>
      </w:pPr>
      <w:r>
        <w:t>Kurt Eby (CWTA)</w:t>
      </w:r>
    </w:p>
    <w:p w:rsidR="00050AEB" w:rsidRDefault="00050AEB" w:rsidP="00050AEB">
      <w:pPr>
        <w:pStyle w:val="ListParagraph"/>
        <w:numPr>
          <w:ilvl w:val="0"/>
          <w:numId w:val="1"/>
        </w:numPr>
        <w:spacing w:after="0" w:line="240" w:lineRule="auto"/>
      </w:pPr>
      <w:r>
        <w:t>Dave Ramdeane (Bell)</w:t>
      </w:r>
    </w:p>
    <w:p w:rsidR="00050AEB" w:rsidRDefault="00050AEB" w:rsidP="00050AEB">
      <w:pPr>
        <w:pStyle w:val="ListParagraph"/>
        <w:numPr>
          <w:ilvl w:val="0"/>
          <w:numId w:val="1"/>
        </w:numPr>
        <w:spacing w:after="0" w:line="240" w:lineRule="auto"/>
      </w:pPr>
      <w:r>
        <w:t>Phil Vieira (Tbaytel)</w:t>
      </w:r>
    </w:p>
    <w:p w:rsidR="00050AEB" w:rsidRDefault="00050AEB" w:rsidP="00050AEB">
      <w:pPr>
        <w:pStyle w:val="ListParagraph"/>
        <w:numPr>
          <w:ilvl w:val="0"/>
          <w:numId w:val="1"/>
        </w:numPr>
        <w:spacing w:after="0" w:line="240" w:lineRule="auto"/>
      </w:pPr>
      <w:r>
        <w:t>Timmy Dalpe (WesTower)</w:t>
      </w:r>
    </w:p>
    <w:p w:rsidR="00050AEB" w:rsidRDefault="00050AEB" w:rsidP="00050AEB">
      <w:pPr>
        <w:pStyle w:val="ListParagraph"/>
        <w:numPr>
          <w:ilvl w:val="0"/>
          <w:numId w:val="1"/>
        </w:numPr>
        <w:spacing w:after="0" w:line="240" w:lineRule="auto"/>
      </w:pPr>
      <w:r>
        <w:t>Deanne Spring (WSP)</w:t>
      </w:r>
    </w:p>
    <w:p w:rsidR="00050AEB" w:rsidRDefault="00050AEB" w:rsidP="00050AEB">
      <w:pPr>
        <w:pStyle w:val="ListParagraph"/>
        <w:numPr>
          <w:ilvl w:val="0"/>
          <w:numId w:val="1"/>
        </w:numPr>
        <w:spacing w:after="0" w:line="240" w:lineRule="auto"/>
      </w:pPr>
      <w:r>
        <w:t>Philippe Lavoie (TELUS)</w:t>
      </w:r>
    </w:p>
    <w:p w:rsidR="00050AEB" w:rsidRDefault="00050AEB" w:rsidP="00050AEB">
      <w:pPr>
        <w:pStyle w:val="ListParagraph"/>
        <w:numPr>
          <w:ilvl w:val="0"/>
          <w:numId w:val="1"/>
        </w:numPr>
        <w:spacing w:after="0" w:line="240" w:lineRule="auto"/>
      </w:pPr>
      <w:r>
        <w:t>Dan Renaud (Telecon)</w:t>
      </w:r>
    </w:p>
    <w:p w:rsidR="00050AEB" w:rsidRDefault="00050AEB" w:rsidP="00050AEB">
      <w:pPr>
        <w:pStyle w:val="ListParagraph"/>
        <w:numPr>
          <w:ilvl w:val="0"/>
          <w:numId w:val="1"/>
        </w:numPr>
        <w:spacing w:after="0" w:line="240" w:lineRule="auto"/>
      </w:pPr>
      <w:r>
        <w:t>Eric Fernandes (WSP)</w:t>
      </w:r>
    </w:p>
    <w:p w:rsidR="00050AEB" w:rsidRDefault="00050AEB" w:rsidP="00050AEB">
      <w:pPr>
        <w:pStyle w:val="ListParagraph"/>
        <w:numPr>
          <w:ilvl w:val="0"/>
          <w:numId w:val="1"/>
        </w:numPr>
        <w:spacing w:after="0" w:line="240" w:lineRule="auto"/>
      </w:pPr>
      <w:r>
        <w:t>David Wannamaker (Skyhook)</w:t>
      </w:r>
    </w:p>
    <w:p w:rsidR="00050AEB" w:rsidRDefault="00050AEB" w:rsidP="00050AEB">
      <w:pPr>
        <w:pStyle w:val="ListParagraph"/>
        <w:numPr>
          <w:ilvl w:val="0"/>
          <w:numId w:val="1"/>
        </w:numPr>
        <w:spacing w:after="0" w:line="240" w:lineRule="auto"/>
      </w:pPr>
      <w:r>
        <w:t>Walter Wannamaker (Vertical Specialties)</w:t>
      </w:r>
    </w:p>
    <w:p w:rsidR="00050AEB" w:rsidRDefault="00050AEB" w:rsidP="00050AEB">
      <w:pPr>
        <w:pStyle w:val="ListParagraph"/>
        <w:numPr>
          <w:ilvl w:val="0"/>
          <w:numId w:val="1"/>
        </w:numPr>
        <w:spacing w:after="0" w:line="240" w:lineRule="auto"/>
      </w:pPr>
      <w:r>
        <w:t>Richard Zhang (Rogers)</w:t>
      </w:r>
    </w:p>
    <w:p w:rsidR="00050AEB" w:rsidRDefault="00050AEB" w:rsidP="00050AEB">
      <w:pPr>
        <w:pStyle w:val="ListParagraph"/>
        <w:numPr>
          <w:ilvl w:val="0"/>
          <w:numId w:val="1"/>
        </w:numPr>
        <w:spacing w:after="0" w:line="240" w:lineRule="auto"/>
      </w:pPr>
      <w:r>
        <w:t>Scott Martin (Ericsson)</w:t>
      </w:r>
    </w:p>
    <w:p w:rsidR="00050AEB" w:rsidRDefault="00050AEB" w:rsidP="00050AEB">
      <w:pPr>
        <w:pStyle w:val="ListParagraph"/>
        <w:numPr>
          <w:ilvl w:val="0"/>
          <w:numId w:val="1"/>
        </w:numPr>
        <w:spacing w:after="0" w:line="240" w:lineRule="auto"/>
      </w:pPr>
      <w:r>
        <w:t>Jeff Follett (Morrison Hershfield)</w:t>
      </w:r>
    </w:p>
    <w:p w:rsidR="002C42CF" w:rsidRDefault="002C42CF" w:rsidP="002C42CF">
      <w:pPr>
        <w:pStyle w:val="ListParagraph"/>
        <w:numPr>
          <w:ilvl w:val="0"/>
          <w:numId w:val="2"/>
        </w:numPr>
        <w:spacing w:after="0" w:line="240" w:lineRule="auto"/>
      </w:pPr>
      <w:r>
        <w:t>Matthew Koziell (Azimuth)</w:t>
      </w:r>
    </w:p>
    <w:p w:rsidR="002C42CF" w:rsidRDefault="002C42CF" w:rsidP="00050AEB">
      <w:pPr>
        <w:spacing w:after="0" w:line="240" w:lineRule="auto"/>
        <w:sectPr w:rsidR="002C42CF" w:rsidSect="00050AEB">
          <w:type w:val="continuous"/>
          <w:pgSz w:w="12240" w:h="15840"/>
          <w:pgMar w:top="1440" w:right="1440" w:bottom="1440" w:left="1440" w:header="720" w:footer="720" w:gutter="0"/>
          <w:cols w:num="2" w:space="720"/>
          <w:docGrid w:linePitch="360"/>
        </w:sectPr>
      </w:pPr>
    </w:p>
    <w:p w:rsidR="00050AEB" w:rsidRDefault="00050AEB" w:rsidP="00050AEB">
      <w:pPr>
        <w:spacing w:after="0" w:line="240" w:lineRule="auto"/>
      </w:pPr>
    </w:p>
    <w:p w:rsidR="00050AEB" w:rsidRDefault="00050AEB" w:rsidP="00050AEB">
      <w:pPr>
        <w:spacing w:after="0" w:line="240" w:lineRule="auto"/>
      </w:pPr>
      <w:r>
        <w:t>Meeting Notes:</w:t>
      </w:r>
    </w:p>
    <w:p w:rsidR="00050AEB" w:rsidRDefault="00386FDF" w:rsidP="00386FDF">
      <w:pPr>
        <w:pStyle w:val="ListParagraph"/>
        <w:numPr>
          <w:ilvl w:val="0"/>
          <w:numId w:val="3"/>
        </w:numPr>
        <w:spacing w:after="0" w:line="240" w:lineRule="auto"/>
      </w:pPr>
      <w:r>
        <w:t>Committee identifies some general topics they’d like to see covered off in the STAC RF Awareness document:</w:t>
      </w:r>
    </w:p>
    <w:p w:rsidR="00386FDF" w:rsidRDefault="00386FDF" w:rsidP="00386FDF">
      <w:pPr>
        <w:pStyle w:val="ListParagraph"/>
        <w:numPr>
          <w:ilvl w:val="2"/>
          <w:numId w:val="4"/>
        </w:numPr>
        <w:spacing w:after="0" w:line="240" w:lineRule="auto"/>
      </w:pPr>
      <w:r>
        <w:t>Exposure</w:t>
      </w:r>
    </w:p>
    <w:p w:rsidR="00386FDF" w:rsidRDefault="00386FDF" w:rsidP="00386FDF">
      <w:pPr>
        <w:pStyle w:val="ListParagraph"/>
        <w:numPr>
          <w:ilvl w:val="2"/>
          <w:numId w:val="4"/>
        </w:numPr>
        <w:spacing w:after="0" w:line="240" w:lineRule="auto"/>
      </w:pPr>
      <w:r>
        <w:t>Equipment</w:t>
      </w:r>
    </w:p>
    <w:p w:rsidR="00386FDF" w:rsidRDefault="00386FDF" w:rsidP="00386FDF">
      <w:pPr>
        <w:pStyle w:val="ListParagraph"/>
        <w:numPr>
          <w:ilvl w:val="2"/>
          <w:numId w:val="4"/>
        </w:numPr>
        <w:spacing w:after="0" w:line="240" w:lineRule="auto"/>
      </w:pPr>
      <w:r>
        <w:t>Hotspots</w:t>
      </w:r>
    </w:p>
    <w:p w:rsidR="00386FDF" w:rsidRDefault="00386FDF" w:rsidP="00386FDF">
      <w:pPr>
        <w:pStyle w:val="ListParagraph"/>
        <w:numPr>
          <w:ilvl w:val="2"/>
          <w:numId w:val="4"/>
        </w:numPr>
        <w:spacing w:after="0" w:line="240" w:lineRule="auto"/>
      </w:pPr>
      <w:r>
        <w:t>Precautions</w:t>
      </w:r>
    </w:p>
    <w:p w:rsidR="00386FDF" w:rsidRDefault="00386FDF" w:rsidP="00386FDF">
      <w:pPr>
        <w:pStyle w:val="ListParagraph"/>
        <w:numPr>
          <w:ilvl w:val="2"/>
          <w:numId w:val="4"/>
        </w:numPr>
        <w:spacing w:after="0" w:line="240" w:lineRule="auto"/>
      </w:pPr>
      <w:r>
        <w:t>Reading signs</w:t>
      </w:r>
    </w:p>
    <w:p w:rsidR="00D93DE9" w:rsidRDefault="00D93DE9" w:rsidP="00386FDF">
      <w:pPr>
        <w:pStyle w:val="ListParagraph"/>
        <w:numPr>
          <w:ilvl w:val="2"/>
          <w:numId w:val="4"/>
        </w:numPr>
        <w:spacing w:after="0" w:line="240" w:lineRule="auto"/>
      </w:pPr>
      <w:r>
        <w:t>Lock-out, tag-out procedure</w:t>
      </w:r>
    </w:p>
    <w:p w:rsidR="00D93DE9" w:rsidRDefault="00D93DE9" w:rsidP="00D93DE9">
      <w:pPr>
        <w:pStyle w:val="ListParagraph"/>
        <w:numPr>
          <w:ilvl w:val="3"/>
          <w:numId w:val="4"/>
        </w:numPr>
        <w:spacing w:after="0" w:line="240" w:lineRule="auto"/>
      </w:pPr>
      <w:r>
        <w:t>Techniques that people can use in the field</w:t>
      </w:r>
    </w:p>
    <w:p w:rsidR="00D93DE9" w:rsidRDefault="00D93DE9" w:rsidP="00D93DE9">
      <w:pPr>
        <w:pStyle w:val="ListParagraph"/>
        <w:numPr>
          <w:ilvl w:val="2"/>
          <w:numId w:val="4"/>
        </w:numPr>
        <w:spacing w:after="0" w:line="240" w:lineRule="auto"/>
      </w:pPr>
      <w:r>
        <w:t>Anomalies (ie: conducting ground wires, unforeseen situations)</w:t>
      </w:r>
    </w:p>
    <w:p w:rsidR="00386FDF" w:rsidRDefault="00386FDF" w:rsidP="00386FDF">
      <w:pPr>
        <w:pStyle w:val="ListParagraph"/>
        <w:numPr>
          <w:ilvl w:val="1"/>
          <w:numId w:val="3"/>
        </w:numPr>
        <w:spacing w:after="0" w:line="240" w:lineRule="auto"/>
      </w:pPr>
      <w:r>
        <w:t>Guidelines should be posted to STAC website to guide contractors, when available</w:t>
      </w:r>
    </w:p>
    <w:p w:rsidR="00D93DE9" w:rsidRDefault="00D93DE9" w:rsidP="00386FDF">
      <w:pPr>
        <w:pStyle w:val="ListParagraph"/>
        <w:numPr>
          <w:ilvl w:val="1"/>
          <w:numId w:val="3"/>
        </w:numPr>
        <w:spacing w:after="0" w:line="240" w:lineRule="auto"/>
      </w:pPr>
      <w:r>
        <w:t>General agreement that STAC can’t tell people what to do or what not to do, but can provide information to workers so they know what is recommended</w:t>
      </w:r>
    </w:p>
    <w:p w:rsidR="00386FDF" w:rsidRDefault="00386FDF" w:rsidP="00386FDF">
      <w:pPr>
        <w:pStyle w:val="ListParagraph"/>
        <w:numPr>
          <w:ilvl w:val="0"/>
          <w:numId w:val="3"/>
        </w:numPr>
        <w:spacing w:after="0" w:line="240" w:lineRule="auto"/>
      </w:pPr>
      <w:r>
        <w:t>Committee discusses personal RF monitors and the trouble with confirming that some models are properly calibrated to SC6/15 limits</w:t>
      </w:r>
    </w:p>
    <w:p w:rsidR="00386FDF" w:rsidRDefault="00386FDF" w:rsidP="00386FDF">
      <w:pPr>
        <w:pStyle w:val="ListParagraph"/>
        <w:numPr>
          <w:ilvl w:val="1"/>
          <w:numId w:val="3"/>
        </w:numPr>
        <w:spacing w:after="0" w:line="240" w:lineRule="auto"/>
      </w:pPr>
      <w:r>
        <w:t>STAC has only seen sufficient calibration verification certificate for Narda S3 model, but even when using this model you need to ensure you have the correct module</w:t>
      </w:r>
    </w:p>
    <w:p w:rsidR="00386FDF" w:rsidRDefault="00386FDF" w:rsidP="00386FDF">
      <w:pPr>
        <w:pStyle w:val="ListParagraph"/>
        <w:numPr>
          <w:ilvl w:val="2"/>
          <w:numId w:val="3"/>
        </w:numPr>
        <w:spacing w:after="0" w:line="240" w:lineRule="auto"/>
      </w:pPr>
      <w:r>
        <w:t>Others say that they can program theirs to match SC6/15 limits, but they don’t have this certificate to prove it</w:t>
      </w:r>
    </w:p>
    <w:p w:rsidR="00386FDF" w:rsidRDefault="00386FDF" w:rsidP="00386FDF">
      <w:pPr>
        <w:pStyle w:val="ListParagraph"/>
        <w:numPr>
          <w:ilvl w:val="3"/>
          <w:numId w:val="3"/>
        </w:numPr>
        <w:spacing w:after="0" w:line="240" w:lineRule="auto"/>
      </w:pPr>
      <w:r>
        <w:t>General suggestion that fieldSENSE calibration sheet is too vague and does not specify the range to which it calibrating the monitor for SC6/15 limits</w:t>
      </w:r>
    </w:p>
    <w:p w:rsidR="00386FDF" w:rsidRDefault="00386FDF" w:rsidP="00386FDF">
      <w:pPr>
        <w:pStyle w:val="ListParagraph"/>
        <w:numPr>
          <w:ilvl w:val="1"/>
          <w:numId w:val="3"/>
        </w:numPr>
        <w:spacing w:after="0" w:line="240" w:lineRule="auto"/>
      </w:pPr>
      <w:r>
        <w:t>Committee members note that personal RF monitors are for worker protection purposes only, and should not be used to take official readings</w:t>
      </w:r>
    </w:p>
    <w:p w:rsidR="00386FDF" w:rsidRDefault="00386FDF" w:rsidP="00386FDF">
      <w:pPr>
        <w:pStyle w:val="ListParagraph"/>
        <w:numPr>
          <w:ilvl w:val="0"/>
          <w:numId w:val="3"/>
        </w:numPr>
        <w:spacing w:after="0" w:line="240" w:lineRule="auto"/>
      </w:pPr>
      <w:r>
        <w:t>Committee discusses personal RF protection suits</w:t>
      </w:r>
    </w:p>
    <w:p w:rsidR="00386FDF" w:rsidRDefault="00D155F0" w:rsidP="00386FDF">
      <w:pPr>
        <w:pStyle w:val="ListParagraph"/>
        <w:numPr>
          <w:ilvl w:val="1"/>
          <w:numId w:val="3"/>
        </w:numPr>
        <w:spacing w:after="0" w:line="240" w:lineRule="auto"/>
      </w:pPr>
      <w:r>
        <w:t>Member</w:t>
      </w:r>
      <w:bookmarkStart w:id="0" w:name="_GoBack"/>
      <w:bookmarkEnd w:id="0"/>
      <w:r w:rsidR="00386FDF">
        <w:t xml:space="preserve"> notes that he doesn’t like personal RF suits and doesn’t let his crews use them</w:t>
      </w:r>
    </w:p>
    <w:p w:rsidR="00D93DE9" w:rsidRDefault="00D93DE9" w:rsidP="00D93DE9">
      <w:pPr>
        <w:pStyle w:val="ListParagraph"/>
        <w:numPr>
          <w:ilvl w:val="2"/>
          <w:numId w:val="3"/>
        </w:numPr>
        <w:spacing w:after="0" w:line="240" w:lineRule="auto"/>
      </w:pPr>
      <w:r>
        <w:t>Notes that the safest way to work on a site is to ensure that the transmitter is turned off before sending anyone up the tower</w:t>
      </w:r>
    </w:p>
    <w:p w:rsidR="00D93DE9" w:rsidRDefault="00D93DE9" w:rsidP="00D93DE9">
      <w:pPr>
        <w:pStyle w:val="ListParagraph"/>
        <w:numPr>
          <w:ilvl w:val="3"/>
          <w:numId w:val="3"/>
        </w:numPr>
        <w:spacing w:after="0" w:line="240" w:lineRule="auto"/>
      </w:pPr>
      <w:r>
        <w:t>Notes that employers are obligated to maintain safe workplaces</w:t>
      </w:r>
    </w:p>
    <w:p w:rsidR="00D93DE9" w:rsidRDefault="00D93DE9" w:rsidP="00D93DE9">
      <w:pPr>
        <w:pStyle w:val="ListParagraph"/>
        <w:numPr>
          <w:ilvl w:val="0"/>
          <w:numId w:val="3"/>
        </w:numPr>
        <w:spacing w:after="0" w:line="240" w:lineRule="auto"/>
      </w:pPr>
      <w:r>
        <w:lastRenderedPageBreak/>
        <w:t>Committee discusses next steps for Best Practice document planning</w:t>
      </w:r>
    </w:p>
    <w:p w:rsidR="00D93DE9" w:rsidRDefault="00D93DE9" w:rsidP="00D93DE9">
      <w:pPr>
        <w:pStyle w:val="ListParagraph"/>
        <w:numPr>
          <w:ilvl w:val="1"/>
          <w:numId w:val="3"/>
        </w:numPr>
        <w:spacing w:after="0" w:line="240" w:lineRule="auto"/>
      </w:pPr>
      <w:r>
        <w:t>General agreement that the committee does not need to break down into smaller teams at this time</w:t>
      </w:r>
    </w:p>
    <w:p w:rsidR="00D93DE9" w:rsidRDefault="00D93DE9" w:rsidP="00D93DE9">
      <w:pPr>
        <w:pStyle w:val="ListParagraph"/>
        <w:numPr>
          <w:ilvl w:val="1"/>
          <w:numId w:val="3"/>
        </w:numPr>
        <w:spacing w:after="0" w:line="240" w:lineRule="auto"/>
      </w:pPr>
      <w:r>
        <w:t>General request that committee members share RF safety training materials they provide to their employees, or that they send a list of dos and don’ts to Nick</w:t>
      </w:r>
    </w:p>
    <w:p w:rsidR="00D93DE9" w:rsidRDefault="00D93DE9" w:rsidP="00D93DE9">
      <w:pPr>
        <w:pStyle w:val="ListParagraph"/>
        <w:numPr>
          <w:ilvl w:val="2"/>
          <w:numId w:val="3"/>
        </w:numPr>
        <w:spacing w:after="0" w:line="240" w:lineRule="auto"/>
      </w:pPr>
      <w:r>
        <w:t xml:space="preserve">Could include lock-out tag-out practices, personal monitor dos and don’ts and </w:t>
      </w:r>
    </w:p>
    <w:p w:rsidR="00D93DE9" w:rsidRDefault="00D93DE9" w:rsidP="00D93DE9">
      <w:pPr>
        <w:pStyle w:val="ListParagraph"/>
        <w:numPr>
          <w:ilvl w:val="1"/>
          <w:numId w:val="3"/>
        </w:numPr>
        <w:spacing w:after="0" w:line="240" w:lineRule="auto"/>
      </w:pPr>
      <w:r>
        <w:t>Suggestion that we should start by identifying safe work practices for RF awareness before moving on to the more formal recommended guidelines</w:t>
      </w:r>
    </w:p>
    <w:p w:rsidR="00D93DE9" w:rsidRDefault="00D93DE9" w:rsidP="00D93DE9">
      <w:pPr>
        <w:pStyle w:val="ListParagraph"/>
        <w:numPr>
          <w:ilvl w:val="2"/>
          <w:numId w:val="3"/>
        </w:numPr>
        <w:spacing w:after="0" w:line="240" w:lineRule="auto"/>
      </w:pPr>
      <w:r>
        <w:t>Ie: What is the most basic knowledge needed for RF awareness/minimum policy for all companies to adopt</w:t>
      </w:r>
    </w:p>
    <w:p w:rsidR="00D93DE9" w:rsidRDefault="00D93DE9" w:rsidP="00D93DE9">
      <w:pPr>
        <w:pStyle w:val="ListParagraph"/>
        <w:numPr>
          <w:ilvl w:val="1"/>
          <w:numId w:val="3"/>
        </w:numPr>
        <w:spacing w:after="0" w:line="240" w:lineRule="auto"/>
      </w:pPr>
      <w:r>
        <w:t>General reminder that this document shouldn’t be only about towers, but also about rooftops</w:t>
      </w:r>
    </w:p>
    <w:p w:rsidR="00D93DE9" w:rsidRDefault="00D93DE9" w:rsidP="005F3276">
      <w:pPr>
        <w:pStyle w:val="ListParagraph"/>
        <w:numPr>
          <w:ilvl w:val="2"/>
          <w:numId w:val="3"/>
        </w:numPr>
        <w:spacing w:after="0" w:line="240" w:lineRule="auto"/>
      </w:pPr>
      <w:r>
        <w:t>Committee notes that this means STAC should reach out to groups representing other types of workers who might come into contact with rooftop equipment and who should also receive basic RF training as a result</w:t>
      </w:r>
    </w:p>
    <w:sectPr w:rsidR="00D93DE9" w:rsidSect="00050AE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AEB" w:rsidRDefault="00050AEB" w:rsidP="00050AEB">
      <w:pPr>
        <w:spacing w:after="0" w:line="240" w:lineRule="auto"/>
      </w:pPr>
      <w:r>
        <w:separator/>
      </w:r>
    </w:p>
  </w:endnote>
  <w:endnote w:type="continuationSeparator" w:id="0">
    <w:p w:rsidR="00050AEB" w:rsidRDefault="00050AEB" w:rsidP="0005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AEB" w:rsidRDefault="00050AEB" w:rsidP="00050AEB">
      <w:pPr>
        <w:spacing w:after="0" w:line="240" w:lineRule="auto"/>
      </w:pPr>
      <w:r>
        <w:separator/>
      </w:r>
    </w:p>
  </w:footnote>
  <w:footnote w:type="continuationSeparator" w:id="0">
    <w:p w:rsidR="00050AEB" w:rsidRDefault="00050AEB" w:rsidP="00050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AEB" w:rsidRPr="00060837" w:rsidRDefault="00050AEB" w:rsidP="00050AEB">
    <w:pPr>
      <w:spacing w:after="0" w:line="240" w:lineRule="auto"/>
      <w:rPr>
        <w:b/>
      </w:rPr>
    </w:pPr>
    <w:r>
      <w:rPr>
        <w:noProof/>
      </w:rPr>
      <w:drawing>
        <wp:anchor distT="0" distB="0" distL="114300" distR="114300" simplePos="0" relativeHeight="251659264" behindDoc="1" locked="0" layoutInCell="1" allowOverlap="1" wp14:anchorId="7C1F44F1" wp14:editId="56A4C0D1">
          <wp:simplePos x="0" y="0"/>
          <wp:positionH relativeFrom="column">
            <wp:posOffset>4324350</wp:posOffset>
          </wp:positionH>
          <wp:positionV relativeFrom="paragraph">
            <wp:posOffset>-257175</wp:posOffset>
          </wp:positionV>
          <wp:extent cx="1600200" cy="749808"/>
          <wp:effectExtent l="0" t="0" r="0" b="0"/>
          <wp:wrapNone/>
          <wp:docPr id="2" name="Picture 2" descr="http://www.stacouncil.ca/wp-content/uploads/2015/12/stac_pop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acouncil.ca/wp-content/uploads/2015/12/stac_popu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498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0837">
      <w:rPr>
        <w:b/>
      </w:rPr>
      <w:t xml:space="preserve">STAC </w:t>
    </w:r>
    <w:r w:rsidR="00D155F0">
      <w:rPr>
        <w:b/>
      </w:rPr>
      <w:t>RF Awareness Sub-Committee Meeting</w:t>
    </w:r>
    <w:r w:rsidRPr="00060837">
      <w:rPr>
        <w:b/>
      </w:rPr>
      <w:t xml:space="preserve"> Notes</w:t>
    </w:r>
  </w:p>
  <w:p w:rsidR="00050AEB" w:rsidRDefault="00050AEB" w:rsidP="00050AEB">
    <w:pPr>
      <w:spacing w:after="0" w:line="240" w:lineRule="auto"/>
    </w:pPr>
    <w:r>
      <w:t>Me</w:t>
    </w:r>
    <w:r w:rsidR="00D155F0">
      <w:t>eting: April 12, 2016; 2:40 p.m.-3:4</w:t>
    </w:r>
    <w:r>
      <w:t>0 p.m.</w:t>
    </w:r>
  </w:p>
  <w:p w:rsidR="00050AEB" w:rsidRDefault="00050A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154"/>
    <w:multiLevelType w:val="hybridMultilevel"/>
    <w:tmpl w:val="5930E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A302DD"/>
    <w:multiLevelType w:val="hybridMultilevel"/>
    <w:tmpl w:val="F73C3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E101C8"/>
    <w:multiLevelType w:val="hybridMultilevel"/>
    <w:tmpl w:val="F23449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E230CE"/>
    <w:multiLevelType w:val="hybridMultilevel"/>
    <w:tmpl w:val="183C3EA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9CC0EF4"/>
    <w:multiLevelType w:val="hybridMultilevel"/>
    <w:tmpl w:val="AB94F14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AEB"/>
    <w:rsid w:val="00050AEB"/>
    <w:rsid w:val="002C42CF"/>
    <w:rsid w:val="00386FDF"/>
    <w:rsid w:val="005F3276"/>
    <w:rsid w:val="00694504"/>
    <w:rsid w:val="009321C0"/>
    <w:rsid w:val="00D155F0"/>
    <w:rsid w:val="00D93DE9"/>
    <w:rsid w:val="00E812C5"/>
    <w:rsid w:val="00F06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787A3"/>
  <w15:chartTrackingRefBased/>
  <w15:docId w15:val="{2954225B-30AE-46ED-90FC-72AE13BA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50A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AEB"/>
  </w:style>
  <w:style w:type="paragraph" w:styleId="Footer">
    <w:name w:val="footer"/>
    <w:basedOn w:val="Normal"/>
    <w:link w:val="FooterChar"/>
    <w:uiPriority w:val="99"/>
    <w:unhideWhenUsed/>
    <w:rsid w:val="00050A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AEB"/>
  </w:style>
  <w:style w:type="paragraph" w:styleId="ListParagraph">
    <w:name w:val="List Paragraph"/>
    <w:basedOn w:val="Normal"/>
    <w:uiPriority w:val="34"/>
    <w:qFormat/>
    <w:rsid w:val="00050AEB"/>
    <w:pPr>
      <w:ind w:left="720"/>
      <w:contextualSpacing/>
    </w:pPr>
  </w:style>
  <w:style w:type="paragraph" w:styleId="BalloonText">
    <w:name w:val="Balloon Text"/>
    <w:basedOn w:val="Normal"/>
    <w:link w:val="BalloonTextChar"/>
    <w:uiPriority w:val="99"/>
    <w:semiHidden/>
    <w:unhideWhenUsed/>
    <w:rsid w:val="00694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5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Kyonka</dc:creator>
  <cp:keywords/>
  <dc:description/>
  <cp:lastModifiedBy>Nick Kyonka</cp:lastModifiedBy>
  <cp:revision>5</cp:revision>
  <cp:lastPrinted>2016-05-02T17:23:00Z</cp:lastPrinted>
  <dcterms:created xsi:type="dcterms:W3CDTF">2016-05-02T16:52:00Z</dcterms:created>
  <dcterms:modified xsi:type="dcterms:W3CDTF">2016-05-03T19:44:00Z</dcterms:modified>
</cp:coreProperties>
</file>